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4FDCD" w14:textId="77777777" w:rsidR="00484306" w:rsidRDefault="00B60594">
      <w:pPr>
        <w:jc w:val="both"/>
      </w:pPr>
      <w:r>
        <w:rPr>
          <w:rFonts w:ascii="Times New Roman" w:hAnsi="Times New Roman"/>
          <w:b/>
          <w:sz w:val="24"/>
        </w:rPr>
        <w:t>STF-JKA-1-20</w:t>
      </w:r>
    </w:p>
    <w:p w14:paraId="4DACD578" w14:textId="77777777" w:rsidR="00A24502" w:rsidRDefault="00B60594" w:rsidP="005A4AF1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24502">
        <w:rPr>
          <w:rFonts w:ascii="Times New Roman" w:hAnsi="Times New Roman" w:cs="Times New Roman"/>
          <w:sz w:val="24"/>
          <w:szCs w:val="24"/>
          <w:u w:val="single"/>
        </w:rPr>
        <w:t xml:space="preserve">Question: </w:t>
      </w:r>
    </w:p>
    <w:p w14:paraId="28C8D6C5" w14:textId="760C3727" w:rsidR="00484306" w:rsidRPr="00A24502" w:rsidRDefault="00B60594" w:rsidP="00744433">
      <w:pPr>
        <w:jc w:val="both"/>
        <w:rPr>
          <w:rFonts w:ascii="Times New Roman" w:hAnsi="Times New Roman" w:cs="Times New Roman"/>
          <w:sz w:val="24"/>
          <w:szCs w:val="24"/>
        </w:rPr>
      </w:pPr>
      <w:r w:rsidRPr="00A24502">
        <w:rPr>
          <w:rFonts w:ascii="Times New Roman" w:hAnsi="Times New Roman" w:cs="Times New Roman"/>
          <w:sz w:val="24"/>
          <w:szCs w:val="24"/>
          <w:u w:val="single"/>
        </w:rPr>
        <w:br/>
      </w:r>
      <w:r w:rsidRPr="00A24502">
        <w:rPr>
          <w:rFonts w:ascii="Times New Roman" w:hAnsi="Times New Roman" w:cs="Times New Roman"/>
          <w:sz w:val="24"/>
          <w:szCs w:val="24"/>
        </w:rPr>
        <w:t>Regarding the Company’s retirement analysis:</w:t>
      </w:r>
    </w:p>
    <w:p w14:paraId="3BE404FB" w14:textId="6CABDED5" w:rsidR="00484306" w:rsidRPr="00A24502" w:rsidRDefault="00B60594" w:rsidP="00421988">
      <w:pPr>
        <w:pStyle w:val="ListParagraph"/>
        <w:numPr>
          <w:ilvl w:val="0"/>
          <w:numId w:val="13"/>
        </w:num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24502">
        <w:rPr>
          <w:rFonts w:ascii="Times New Roman" w:hAnsi="Times New Roman" w:cs="Times New Roman"/>
          <w:sz w:val="24"/>
          <w:szCs w:val="24"/>
        </w:rPr>
        <w:t xml:space="preserve">Please </w:t>
      </w:r>
      <w:proofErr w:type="gramStart"/>
      <w:r w:rsidRPr="00A24502">
        <w:rPr>
          <w:rFonts w:ascii="Times New Roman" w:hAnsi="Times New Roman" w:cs="Times New Roman"/>
          <w:sz w:val="24"/>
          <w:szCs w:val="24"/>
        </w:rPr>
        <w:t>compare and contrast</w:t>
      </w:r>
      <w:proofErr w:type="gramEnd"/>
      <w:r w:rsidRPr="00A24502">
        <w:rPr>
          <w:rFonts w:ascii="Times New Roman" w:hAnsi="Times New Roman" w:cs="Times New Roman"/>
          <w:sz w:val="24"/>
          <w:szCs w:val="24"/>
        </w:rPr>
        <w:t xml:space="preserve"> the coal retirement methodology used in the 2025 IRP versus the 2022 IRP.</w:t>
      </w:r>
    </w:p>
    <w:p w14:paraId="359FDA9D" w14:textId="65A30106" w:rsidR="00484306" w:rsidRPr="00A24502" w:rsidRDefault="00B60594" w:rsidP="00421988">
      <w:pPr>
        <w:pStyle w:val="ListParagraph"/>
        <w:numPr>
          <w:ilvl w:val="0"/>
          <w:numId w:val="13"/>
        </w:num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24502">
        <w:rPr>
          <w:rFonts w:ascii="Times New Roman" w:hAnsi="Times New Roman" w:cs="Times New Roman"/>
          <w:sz w:val="24"/>
          <w:szCs w:val="24"/>
        </w:rPr>
        <w:t>Did the Company evaluate the most optimal year to retire coal units in the coal retirement study? Provide all workpapers, notes, documentation regarding the assumptions required to evaluate optimal timing.</w:t>
      </w:r>
    </w:p>
    <w:p w14:paraId="5092932C" w14:textId="77777777" w:rsidR="00484306" w:rsidRPr="00A24502" w:rsidRDefault="00B60594">
      <w:pPr>
        <w:rPr>
          <w:rFonts w:ascii="Times New Roman" w:hAnsi="Times New Roman" w:cs="Times New Roman"/>
          <w:sz w:val="24"/>
          <w:szCs w:val="24"/>
        </w:rPr>
      </w:pPr>
      <w:r w:rsidRPr="00A24502">
        <w:rPr>
          <w:rFonts w:ascii="Times New Roman" w:hAnsi="Times New Roman" w:cs="Times New Roman"/>
          <w:sz w:val="24"/>
          <w:szCs w:val="24"/>
          <w:u w:val="single"/>
        </w:rPr>
        <w:t xml:space="preserve">Response: </w:t>
      </w:r>
    </w:p>
    <w:p w14:paraId="5D5520D9" w14:textId="14929F49" w:rsidR="00B97287" w:rsidRPr="00A24502" w:rsidRDefault="11BF0B43" w:rsidP="00421988">
      <w:pPr>
        <w:pStyle w:val="ListParagraph"/>
        <w:numPr>
          <w:ilvl w:val="0"/>
          <w:numId w:val="12"/>
        </w:numPr>
        <w:ind w:left="7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24502">
        <w:rPr>
          <w:rFonts w:ascii="Times New Roman" w:hAnsi="Times New Roman" w:cs="Times New Roman"/>
          <w:sz w:val="24"/>
          <w:szCs w:val="24"/>
        </w:rPr>
        <w:t>The</w:t>
      </w:r>
      <w:r w:rsidR="0BE186D0" w:rsidRPr="00A24502">
        <w:rPr>
          <w:rFonts w:ascii="Times New Roman" w:hAnsi="Times New Roman" w:cs="Times New Roman"/>
          <w:sz w:val="24"/>
          <w:szCs w:val="24"/>
        </w:rPr>
        <w:t xml:space="preserve"> </w:t>
      </w:r>
      <w:r w:rsidRPr="00A24502">
        <w:rPr>
          <w:rFonts w:ascii="Times New Roman" w:hAnsi="Times New Roman" w:cs="Times New Roman"/>
          <w:sz w:val="24"/>
          <w:szCs w:val="24"/>
        </w:rPr>
        <w:t xml:space="preserve">methodology used in the 2022 IRP </w:t>
      </w:r>
      <w:r w:rsidR="14321471" w:rsidRPr="00A24502">
        <w:rPr>
          <w:rFonts w:ascii="Times New Roman" w:hAnsi="Times New Roman" w:cs="Times New Roman"/>
          <w:sz w:val="24"/>
          <w:szCs w:val="24"/>
        </w:rPr>
        <w:t xml:space="preserve">and the </w:t>
      </w:r>
      <w:r w:rsidR="29F9E947" w:rsidRPr="00A24502">
        <w:rPr>
          <w:rFonts w:ascii="Times New Roman" w:hAnsi="Times New Roman" w:cs="Times New Roman"/>
          <w:sz w:val="24"/>
          <w:szCs w:val="24"/>
        </w:rPr>
        <w:t xml:space="preserve">2025 IRP both </w:t>
      </w:r>
      <w:r w:rsidR="00E7F05B" w:rsidRPr="00A24502">
        <w:rPr>
          <w:rFonts w:ascii="Times New Roman" w:hAnsi="Times New Roman" w:cs="Times New Roman"/>
          <w:sz w:val="24"/>
          <w:szCs w:val="24"/>
        </w:rPr>
        <w:t>compare</w:t>
      </w:r>
      <w:r w:rsidRPr="00A24502">
        <w:rPr>
          <w:rFonts w:ascii="Times New Roman" w:hAnsi="Times New Roman" w:cs="Times New Roman"/>
          <w:sz w:val="24"/>
          <w:szCs w:val="24"/>
        </w:rPr>
        <w:t xml:space="preserve"> the incremental costs and benefits of the unit being evaluated to the costs and benefits of re</w:t>
      </w:r>
      <w:r w:rsidR="711BD5EE" w:rsidRPr="00A24502">
        <w:rPr>
          <w:rFonts w:ascii="Times New Roman" w:hAnsi="Times New Roman" w:cs="Times New Roman"/>
          <w:sz w:val="24"/>
          <w:szCs w:val="24"/>
        </w:rPr>
        <w:t>placement unit</w:t>
      </w:r>
      <w:r w:rsidR="468D95FA" w:rsidRPr="00A24502">
        <w:rPr>
          <w:rFonts w:ascii="Times New Roman" w:hAnsi="Times New Roman" w:cs="Times New Roman"/>
          <w:sz w:val="24"/>
          <w:szCs w:val="24"/>
        </w:rPr>
        <w:t>(</w:t>
      </w:r>
      <w:r w:rsidR="711BD5EE" w:rsidRPr="00A24502">
        <w:rPr>
          <w:rFonts w:ascii="Times New Roman" w:hAnsi="Times New Roman" w:cs="Times New Roman"/>
          <w:sz w:val="24"/>
          <w:szCs w:val="24"/>
        </w:rPr>
        <w:t>s</w:t>
      </w:r>
      <w:r w:rsidR="468D95FA" w:rsidRPr="00A24502">
        <w:rPr>
          <w:rFonts w:ascii="Times New Roman" w:hAnsi="Times New Roman" w:cs="Times New Roman"/>
          <w:sz w:val="24"/>
          <w:szCs w:val="24"/>
        </w:rPr>
        <w:t>)</w:t>
      </w:r>
      <w:r w:rsidR="4FA3118B" w:rsidRPr="00A24502">
        <w:rPr>
          <w:rFonts w:ascii="Times New Roman" w:hAnsi="Times New Roman" w:cs="Times New Roman"/>
          <w:sz w:val="24"/>
          <w:szCs w:val="24"/>
        </w:rPr>
        <w:t>.</w:t>
      </w:r>
      <w:r w:rsidR="56FFE505" w:rsidRPr="00A24502">
        <w:rPr>
          <w:rFonts w:ascii="Times New Roman" w:hAnsi="Times New Roman" w:cs="Times New Roman"/>
          <w:sz w:val="24"/>
          <w:szCs w:val="24"/>
        </w:rPr>
        <w:t xml:space="preserve"> </w:t>
      </w:r>
      <w:r w:rsidR="1A674C81" w:rsidRPr="00A24502">
        <w:rPr>
          <w:rFonts w:ascii="Times New Roman" w:hAnsi="Times New Roman" w:cs="Times New Roman"/>
          <w:sz w:val="24"/>
          <w:szCs w:val="24"/>
        </w:rPr>
        <w:t>The costs for the replacement unit in the 2022 IRP were assumed to be results from the 2,356 MW of low-cost replacement capacity identified in the 2022-2028 Capacity RFP</w:t>
      </w:r>
      <w:r w:rsidR="00A856E3" w:rsidRPr="00A24502">
        <w:rPr>
          <w:rFonts w:ascii="Times New Roman" w:hAnsi="Times New Roman" w:cs="Times New Roman"/>
          <w:sz w:val="24"/>
          <w:szCs w:val="24"/>
        </w:rPr>
        <w:t>,</w:t>
      </w:r>
      <w:r w:rsidR="005A6FF2" w:rsidRPr="00A24502">
        <w:rPr>
          <w:rFonts w:ascii="Times New Roman" w:hAnsi="Times New Roman" w:cs="Times New Roman"/>
          <w:sz w:val="24"/>
          <w:szCs w:val="24"/>
        </w:rPr>
        <w:t xml:space="preserve"> which </w:t>
      </w:r>
      <w:r w:rsidR="00A856E3" w:rsidRPr="00A24502">
        <w:rPr>
          <w:rFonts w:ascii="Times New Roman" w:hAnsi="Times New Roman" w:cs="Times New Roman"/>
          <w:sz w:val="24"/>
          <w:szCs w:val="24"/>
        </w:rPr>
        <w:t xml:space="preserve">was </w:t>
      </w:r>
      <w:r w:rsidR="005A6FF2" w:rsidRPr="00A24502">
        <w:rPr>
          <w:rFonts w:ascii="Times New Roman" w:hAnsi="Times New Roman" w:cs="Times New Roman"/>
          <w:sz w:val="24"/>
          <w:szCs w:val="24"/>
        </w:rPr>
        <w:t>inten</w:t>
      </w:r>
      <w:r w:rsidR="00A856E3" w:rsidRPr="00A24502">
        <w:rPr>
          <w:rFonts w:ascii="Times New Roman" w:hAnsi="Times New Roman" w:cs="Times New Roman"/>
          <w:sz w:val="24"/>
          <w:szCs w:val="24"/>
        </w:rPr>
        <w:t>ded</w:t>
      </w:r>
      <w:r w:rsidR="005A6FF2" w:rsidRPr="00A24502">
        <w:rPr>
          <w:rFonts w:ascii="Times New Roman" w:hAnsi="Times New Roman" w:cs="Times New Roman"/>
          <w:sz w:val="24"/>
          <w:szCs w:val="24"/>
        </w:rPr>
        <w:t xml:space="preserve"> for the replacement of coal unit retirements</w:t>
      </w:r>
      <w:r w:rsidR="1A674C81" w:rsidRPr="00A24502">
        <w:rPr>
          <w:rFonts w:ascii="Times New Roman" w:hAnsi="Times New Roman" w:cs="Times New Roman"/>
          <w:sz w:val="24"/>
          <w:szCs w:val="24"/>
        </w:rPr>
        <w:t>. The replacement capacity cost assumption used in the 2025 IRP was assumed to be a generic natural gas combined cycle “NGCC</w:t>
      </w:r>
      <w:r w:rsidR="00A856E3" w:rsidRPr="00A24502">
        <w:rPr>
          <w:rFonts w:ascii="Times New Roman" w:hAnsi="Times New Roman" w:cs="Times New Roman"/>
          <w:sz w:val="24"/>
          <w:szCs w:val="24"/>
        </w:rPr>
        <w:t>.</w:t>
      </w:r>
      <w:r w:rsidR="1A674C81" w:rsidRPr="00A24502">
        <w:rPr>
          <w:rFonts w:ascii="Times New Roman" w:hAnsi="Times New Roman" w:cs="Times New Roman"/>
          <w:sz w:val="24"/>
          <w:szCs w:val="24"/>
        </w:rPr>
        <w:t xml:space="preserve">” </w:t>
      </w:r>
      <w:r w:rsidR="56FFE505" w:rsidRPr="00A24502">
        <w:rPr>
          <w:rFonts w:ascii="Times New Roman" w:hAnsi="Times New Roman" w:cs="Times New Roman"/>
          <w:sz w:val="24"/>
          <w:szCs w:val="24"/>
        </w:rPr>
        <w:t xml:space="preserve">The </w:t>
      </w:r>
      <w:r w:rsidR="6C1CA984" w:rsidRPr="00A24502">
        <w:rPr>
          <w:rFonts w:ascii="Times New Roman" w:hAnsi="Times New Roman" w:cs="Times New Roman"/>
          <w:sz w:val="24"/>
          <w:szCs w:val="24"/>
        </w:rPr>
        <w:t xml:space="preserve">methodology used </w:t>
      </w:r>
      <w:r w:rsidR="1F43C525" w:rsidRPr="00A24502">
        <w:rPr>
          <w:rFonts w:ascii="Times New Roman" w:hAnsi="Times New Roman" w:cs="Times New Roman"/>
          <w:sz w:val="24"/>
          <w:szCs w:val="24"/>
        </w:rPr>
        <w:t xml:space="preserve">in the </w:t>
      </w:r>
      <w:r w:rsidR="56FFE505" w:rsidRPr="00A24502">
        <w:rPr>
          <w:rFonts w:ascii="Times New Roman" w:hAnsi="Times New Roman" w:cs="Times New Roman"/>
          <w:sz w:val="24"/>
          <w:szCs w:val="24"/>
        </w:rPr>
        <w:t>2022 IRP assigned a capacity value</w:t>
      </w:r>
      <w:r w:rsidR="2DDBBC50" w:rsidRPr="00A24502">
        <w:rPr>
          <w:rFonts w:ascii="Times New Roman" w:hAnsi="Times New Roman" w:cs="Times New Roman"/>
          <w:sz w:val="24"/>
          <w:szCs w:val="24"/>
        </w:rPr>
        <w:t xml:space="preserve"> </w:t>
      </w:r>
      <w:r w:rsidR="1F8DE755" w:rsidRPr="00A24502">
        <w:rPr>
          <w:rFonts w:ascii="Times New Roman" w:hAnsi="Times New Roman" w:cs="Times New Roman"/>
          <w:sz w:val="24"/>
          <w:szCs w:val="24"/>
        </w:rPr>
        <w:t xml:space="preserve">to the unit being evaluated </w:t>
      </w:r>
      <w:r w:rsidR="053F1591" w:rsidRPr="00A24502">
        <w:rPr>
          <w:rFonts w:ascii="Times New Roman" w:hAnsi="Times New Roman" w:cs="Times New Roman"/>
          <w:sz w:val="24"/>
          <w:szCs w:val="24"/>
        </w:rPr>
        <w:t xml:space="preserve">and to the replacement unit </w:t>
      </w:r>
      <w:proofErr w:type="gramStart"/>
      <w:r w:rsidR="39B09C59" w:rsidRPr="00A24502">
        <w:rPr>
          <w:rFonts w:ascii="Times New Roman" w:hAnsi="Times New Roman" w:cs="Times New Roman"/>
          <w:sz w:val="24"/>
          <w:szCs w:val="24"/>
        </w:rPr>
        <w:t>in order to</w:t>
      </w:r>
      <w:proofErr w:type="gramEnd"/>
      <w:r w:rsidR="39B09C59" w:rsidRPr="00A24502">
        <w:rPr>
          <w:rFonts w:ascii="Times New Roman" w:hAnsi="Times New Roman" w:cs="Times New Roman"/>
          <w:sz w:val="24"/>
          <w:szCs w:val="24"/>
        </w:rPr>
        <w:t xml:space="preserve"> make a direct comparison.</w:t>
      </w:r>
      <w:r w:rsidR="053F1591" w:rsidRPr="00A24502">
        <w:rPr>
          <w:rFonts w:ascii="Times New Roman" w:hAnsi="Times New Roman" w:cs="Times New Roman"/>
          <w:sz w:val="24"/>
          <w:szCs w:val="24"/>
        </w:rPr>
        <w:t xml:space="preserve"> </w:t>
      </w:r>
      <w:r w:rsidR="08D55D89" w:rsidRPr="00A24502">
        <w:rPr>
          <w:rFonts w:ascii="Times New Roman" w:hAnsi="Times New Roman" w:cs="Times New Roman"/>
          <w:sz w:val="24"/>
          <w:szCs w:val="24"/>
        </w:rPr>
        <w:t xml:space="preserve">Due to various environmental compliance pathways, </w:t>
      </w:r>
      <w:r w:rsidR="3FA50EBF" w:rsidRPr="00A24502">
        <w:rPr>
          <w:rFonts w:ascii="Times New Roman" w:hAnsi="Times New Roman" w:cs="Times New Roman"/>
          <w:sz w:val="24"/>
          <w:szCs w:val="24"/>
        </w:rPr>
        <w:t xml:space="preserve">the 2025 IRP methodology shifted to a total cost view </w:t>
      </w:r>
      <w:r w:rsidR="5BA24A2C" w:rsidRPr="00A24502">
        <w:rPr>
          <w:rFonts w:ascii="Times New Roman" w:hAnsi="Times New Roman" w:cs="Times New Roman"/>
          <w:sz w:val="24"/>
          <w:szCs w:val="24"/>
        </w:rPr>
        <w:t xml:space="preserve">so that more than one compliance pathway could be </w:t>
      </w:r>
      <w:r w:rsidR="50EB01FF" w:rsidRPr="00A24502">
        <w:rPr>
          <w:rFonts w:ascii="Times New Roman" w:hAnsi="Times New Roman" w:cs="Times New Roman"/>
          <w:sz w:val="24"/>
          <w:szCs w:val="24"/>
        </w:rPr>
        <w:t>evaluated for each resource</w:t>
      </w:r>
      <w:r w:rsidR="5BA24A2C" w:rsidRPr="00A24502">
        <w:rPr>
          <w:rFonts w:ascii="Times New Roman" w:hAnsi="Times New Roman" w:cs="Times New Roman"/>
          <w:sz w:val="24"/>
          <w:szCs w:val="24"/>
        </w:rPr>
        <w:t xml:space="preserve">. </w:t>
      </w:r>
      <w:r w:rsidR="679E72D7" w:rsidRPr="00A24502">
        <w:rPr>
          <w:rFonts w:ascii="Times New Roman" w:hAnsi="Times New Roman" w:cs="Times New Roman"/>
          <w:sz w:val="24"/>
          <w:szCs w:val="24"/>
        </w:rPr>
        <w:t xml:space="preserve">When evaluating total costs, a capacity benefit is not assigned. </w:t>
      </w:r>
      <w:r w:rsidR="468D95FA" w:rsidRPr="00A24502">
        <w:rPr>
          <w:rFonts w:ascii="Times New Roman" w:hAnsi="Times New Roman" w:cs="Times New Roman"/>
          <w:sz w:val="24"/>
          <w:szCs w:val="24"/>
        </w:rPr>
        <w:t>Instead,</w:t>
      </w:r>
      <w:r w:rsidR="679E72D7" w:rsidRPr="00A24502">
        <w:rPr>
          <w:rFonts w:ascii="Times New Roman" w:hAnsi="Times New Roman" w:cs="Times New Roman"/>
          <w:sz w:val="24"/>
          <w:szCs w:val="24"/>
        </w:rPr>
        <w:t xml:space="preserve"> capacity costs are assigned when the unit </w:t>
      </w:r>
      <w:r w:rsidR="468D95FA" w:rsidRPr="00A24502">
        <w:rPr>
          <w:rFonts w:ascii="Times New Roman" w:hAnsi="Times New Roman" w:cs="Times New Roman"/>
          <w:sz w:val="24"/>
          <w:szCs w:val="24"/>
        </w:rPr>
        <w:t>is assumed to retire</w:t>
      </w:r>
      <w:r w:rsidR="679E72D7" w:rsidRPr="00A24502">
        <w:rPr>
          <w:rFonts w:ascii="Times New Roman" w:hAnsi="Times New Roman" w:cs="Times New Roman"/>
          <w:sz w:val="24"/>
          <w:szCs w:val="24"/>
        </w:rPr>
        <w:t xml:space="preserve">. </w:t>
      </w:r>
      <w:r w:rsidR="54362C40" w:rsidRPr="00A2450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A47A1B" w14:textId="319A2EE0" w:rsidR="2297B7FC" w:rsidRPr="00A24502" w:rsidRDefault="319A493E" w:rsidP="2297B7FC">
      <w:pPr>
        <w:pStyle w:val="ListParagraph"/>
        <w:numPr>
          <w:ilvl w:val="0"/>
          <w:numId w:val="12"/>
        </w:numPr>
        <w:ind w:left="7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24502">
        <w:rPr>
          <w:rFonts w:ascii="Times New Roman" w:hAnsi="Times New Roman" w:cs="Times New Roman"/>
          <w:sz w:val="24"/>
          <w:szCs w:val="24"/>
        </w:rPr>
        <w:t>No</w:t>
      </w:r>
      <w:r w:rsidR="00A856E3" w:rsidRPr="00A24502">
        <w:rPr>
          <w:rFonts w:ascii="Times New Roman" w:hAnsi="Times New Roman" w:cs="Times New Roman"/>
          <w:sz w:val="24"/>
          <w:szCs w:val="24"/>
        </w:rPr>
        <w:t>,</w:t>
      </w:r>
      <w:r w:rsidR="004A352F">
        <w:rPr>
          <w:rFonts w:ascii="Times New Roman" w:hAnsi="Times New Roman" w:cs="Times New Roman"/>
          <w:sz w:val="24"/>
          <w:szCs w:val="24"/>
        </w:rPr>
        <w:t xml:space="preserve"> </w:t>
      </w:r>
      <w:r w:rsidR="00A856E3" w:rsidRPr="00A24502">
        <w:rPr>
          <w:rFonts w:ascii="Times New Roman" w:hAnsi="Times New Roman" w:cs="Times New Roman"/>
          <w:sz w:val="24"/>
          <w:szCs w:val="24"/>
        </w:rPr>
        <w:t>t</w:t>
      </w:r>
      <w:r w:rsidRPr="00A24502">
        <w:rPr>
          <w:rFonts w:ascii="Times New Roman" w:hAnsi="Times New Roman" w:cs="Times New Roman"/>
          <w:sz w:val="24"/>
          <w:szCs w:val="24"/>
        </w:rPr>
        <w:t xml:space="preserve">he </w:t>
      </w:r>
      <w:r w:rsidR="004A352F">
        <w:rPr>
          <w:rFonts w:ascii="Times New Roman" w:hAnsi="Times New Roman" w:cs="Times New Roman"/>
          <w:sz w:val="24"/>
          <w:szCs w:val="24"/>
        </w:rPr>
        <w:t>C</w:t>
      </w:r>
      <w:r w:rsidRPr="00A24502">
        <w:rPr>
          <w:rFonts w:ascii="Times New Roman" w:hAnsi="Times New Roman" w:cs="Times New Roman"/>
          <w:sz w:val="24"/>
          <w:szCs w:val="24"/>
        </w:rPr>
        <w:t xml:space="preserve">ompany did </w:t>
      </w:r>
      <w:r w:rsidR="32D533E4" w:rsidRPr="00A24502">
        <w:rPr>
          <w:rFonts w:ascii="Times New Roman" w:hAnsi="Times New Roman" w:cs="Times New Roman"/>
          <w:sz w:val="24"/>
          <w:szCs w:val="24"/>
        </w:rPr>
        <w:t xml:space="preserve">not evaluate the most optimal retirement year. </w:t>
      </w:r>
      <w:r w:rsidR="00E56356" w:rsidRPr="00A24502">
        <w:rPr>
          <w:rFonts w:ascii="Times New Roman" w:hAnsi="Times New Roman" w:cs="Times New Roman"/>
          <w:sz w:val="24"/>
          <w:szCs w:val="24"/>
        </w:rPr>
        <w:t>The Company evaluated costs and benefits of continuing to operate coal units beyond 2028, including assessing the potential impact of various environmental compliance pathways</w:t>
      </w:r>
      <w:r w:rsidR="00E0758E" w:rsidRPr="00A24502">
        <w:rPr>
          <w:rFonts w:ascii="Times New Roman" w:hAnsi="Times New Roman" w:cs="Times New Roman"/>
          <w:sz w:val="24"/>
          <w:szCs w:val="24"/>
        </w:rPr>
        <w:t>,</w:t>
      </w:r>
      <w:r w:rsidR="008554C8" w:rsidRPr="00A24502">
        <w:rPr>
          <w:rFonts w:ascii="Times New Roman" w:hAnsi="Times New Roman" w:cs="Times New Roman"/>
          <w:sz w:val="24"/>
          <w:szCs w:val="24"/>
        </w:rPr>
        <w:t xml:space="preserve"> and is </w:t>
      </w:r>
      <w:r w:rsidR="70E7FCA1" w:rsidRPr="00A24502">
        <w:rPr>
          <w:rFonts w:ascii="Times New Roman" w:hAnsi="Times New Roman" w:cs="Times New Roman"/>
          <w:sz w:val="24"/>
          <w:szCs w:val="24"/>
        </w:rPr>
        <w:t>not requesting</w:t>
      </w:r>
      <w:r w:rsidR="008554C8" w:rsidRPr="00A24502">
        <w:rPr>
          <w:rFonts w:ascii="Times New Roman" w:hAnsi="Times New Roman" w:cs="Times New Roman"/>
          <w:sz w:val="24"/>
          <w:szCs w:val="24"/>
        </w:rPr>
        <w:t xml:space="preserve"> a retirement date in this IRP</w:t>
      </w:r>
      <w:r w:rsidR="00F33700">
        <w:rPr>
          <w:rFonts w:ascii="Times New Roman" w:hAnsi="Times New Roman" w:cs="Times New Roman"/>
          <w:sz w:val="24"/>
          <w:szCs w:val="24"/>
        </w:rPr>
        <w:t>.</w:t>
      </w:r>
    </w:p>
    <w:sectPr w:rsidR="2297B7FC" w:rsidRPr="00A24502" w:rsidSect="00080551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40519" w14:textId="77777777" w:rsidR="00156595" w:rsidRDefault="00156595">
      <w:pPr>
        <w:spacing w:after="0" w:line="240" w:lineRule="auto"/>
      </w:pPr>
      <w:r>
        <w:separator/>
      </w:r>
    </w:p>
  </w:endnote>
  <w:endnote w:type="continuationSeparator" w:id="0">
    <w:p w14:paraId="27ECBDFF" w14:textId="77777777" w:rsidR="00156595" w:rsidRDefault="00156595">
      <w:pPr>
        <w:spacing w:after="0" w:line="240" w:lineRule="auto"/>
      </w:pPr>
      <w:r>
        <w:continuationSeparator/>
      </w:r>
    </w:p>
  </w:endnote>
  <w:endnote w:type="continuationNotice" w:id="1">
    <w:p w14:paraId="2F5969D6" w14:textId="77777777" w:rsidR="00156595" w:rsidRDefault="0015659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CE705" w14:textId="36BC0D13" w:rsidR="00484306" w:rsidRPr="00F33700" w:rsidRDefault="00B60594">
    <w:pPr>
      <w:pStyle w:val="Footer"/>
    </w:pPr>
    <w:r w:rsidRPr="00F33700">
      <w:rPr>
        <w:rFonts w:ascii="Times New Roman" w:hAnsi="Times New Roman"/>
        <w:sz w:val="24"/>
      </w:rPr>
      <w:t xml:space="preserve">Contact: </w:t>
    </w:r>
    <w:r w:rsidR="00A109EC" w:rsidRPr="00F33700">
      <w:rPr>
        <w:rFonts w:ascii="Times New Roman" w:hAnsi="Times New Roman"/>
        <w:sz w:val="24"/>
      </w:rPr>
      <w:t>Brandon Looney</w:t>
    </w:r>
    <w:r w:rsidRPr="00F33700">
      <w:rPr>
        <w:rFonts w:ascii="Times New Roman" w:hAnsi="Times New Roman"/>
        <w:sz w:val="24"/>
      </w:rPr>
      <w:tab/>
    </w:r>
    <w:r w:rsidRPr="00F33700">
      <w:rPr>
        <w:rFonts w:ascii="Times New Roman" w:hAnsi="Times New Roman"/>
        <w:sz w:val="24"/>
      </w:rPr>
      <w:tab/>
    </w:r>
    <w:r w:rsidR="00744433" w:rsidRPr="00F33700">
      <w:rPr>
        <w:rFonts w:ascii="Times New Roman" w:hAnsi="Times New Roman"/>
        <w:sz w:val="24"/>
      </w:rPr>
      <w:t xml:space="preserve">Page </w:t>
    </w:r>
    <w:r w:rsidR="00744433" w:rsidRPr="00F33700">
      <w:rPr>
        <w:rFonts w:ascii="Times New Roman" w:hAnsi="Times New Roman"/>
        <w:sz w:val="24"/>
      </w:rPr>
      <w:fldChar w:fldCharType="begin"/>
    </w:r>
    <w:r w:rsidR="00744433" w:rsidRPr="00F33700">
      <w:rPr>
        <w:rFonts w:ascii="Times New Roman" w:hAnsi="Times New Roman"/>
        <w:sz w:val="24"/>
      </w:rPr>
      <w:instrText xml:space="preserve"> PAGE  \* Arabic  \* MERGEFORMAT </w:instrText>
    </w:r>
    <w:r w:rsidR="00744433" w:rsidRPr="00F33700">
      <w:rPr>
        <w:rFonts w:ascii="Times New Roman" w:hAnsi="Times New Roman"/>
        <w:sz w:val="24"/>
      </w:rPr>
      <w:fldChar w:fldCharType="separate"/>
    </w:r>
    <w:r w:rsidR="00744433" w:rsidRPr="00F33700">
      <w:rPr>
        <w:rFonts w:ascii="Times New Roman" w:hAnsi="Times New Roman"/>
        <w:noProof/>
        <w:sz w:val="24"/>
      </w:rPr>
      <w:t>1</w:t>
    </w:r>
    <w:r w:rsidR="00744433" w:rsidRPr="00F33700">
      <w:rPr>
        <w:rFonts w:ascii="Times New Roman" w:hAnsi="Times New Roman"/>
        <w:sz w:val="24"/>
      </w:rPr>
      <w:fldChar w:fldCharType="end"/>
    </w:r>
    <w:r w:rsidR="00744433" w:rsidRPr="00F33700">
      <w:rPr>
        <w:rFonts w:ascii="Times New Roman" w:hAnsi="Times New Roman"/>
        <w:sz w:val="24"/>
      </w:rPr>
      <w:t xml:space="preserve"> of </w:t>
    </w:r>
    <w:r w:rsidR="00744433" w:rsidRPr="00F33700">
      <w:rPr>
        <w:rFonts w:ascii="Times New Roman" w:hAnsi="Times New Roman"/>
        <w:sz w:val="24"/>
      </w:rPr>
      <w:fldChar w:fldCharType="begin"/>
    </w:r>
    <w:r w:rsidR="00744433" w:rsidRPr="00F33700">
      <w:rPr>
        <w:rFonts w:ascii="Times New Roman" w:hAnsi="Times New Roman"/>
        <w:sz w:val="24"/>
      </w:rPr>
      <w:instrText xml:space="preserve"> NUMPAGES  \* Arabic  \* MERGEFORMAT </w:instrText>
    </w:r>
    <w:r w:rsidR="00744433" w:rsidRPr="00F33700">
      <w:rPr>
        <w:rFonts w:ascii="Times New Roman" w:hAnsi="Times New Roman"/>
        <w:sz w:val="24"/>
      </w:rPr>
      <w:fldChar w:fldCharType="separate"/>
    </w:r>
    <w:r w:rsidR="00744433" w:rsidRPr="00F33700">
      <w:rPr>
        <w:rFonts w:ascii="Times New Roman" w:hAnsi="Times New Roman"/>
        <w:noProof/>
        <w:sz w:val="24"/>
      </w:rPr>
      <w:t>2</w:t>
    </w:r>
    <w:r w:rsidR="00744433" w:rsidRPr="00F33700">
      <w:rPr>
        <w:rFonts w:ascii="Times New Roman" w:hAnsi="Times New Roman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EEA96" w14:textId="77777777" w:rsidR="00156595" w:rsidRDefault="00156595">
      <w:pPr>
        <w:spacing w:after="0" w:line="240" w:lineRule="auto"/>
      </w:pPr>
      <w:r>
        <w:separator/>
      </w:r>
    </w:p>
  </w:footnote>
  <w:footnote w:type="continuationSeparator" w:id="0">
    <w:p w14:paraId="46F7B2A1" w14:textId="77777777" w:rsidR="00156595" w:rsidRDefault="00156595">
      <w:pPr>
        <w:spacing w:after="0" w:line="240" w:lineRule="auto"/>
      </w:pPr>
      <w:r>
        <w:continuationSeparator/>
      </w:r>
    </w:p>
  </w:footnote>
  <w:footnote w:type="continuationNotice" w:id="1">
    <w:p w14:paraId="59BF99BB" w14:textId="77777777" w:rsidR="00156595" w:rsidRDefault="0015659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E77A5" w14:textId="77777777" w:rsidR="00080551" w:rsidRPr="00D62A4A" w:rsidRDefault="00080551" w:rsidP="00080551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</w:p>
  <w:p w14:paraId="47B0C2F1" w14:textId="77777777" w:rsidR="00080551" w:rsidRPr="00D62A4A" w:rsidRDefault="00080551" w:rsidP="00080551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D62A4A">
      <w:rPr>
        <w:rFonts w:ascii="Times New Roman" w:eastAsia="Times New Roman" w:hAnsi="Times New Roman" w:cs="Times New Roman"/>
        <w:b/>
        <w:bCs/>
        <w:sz w:val="24"/>
        <w:szCs w:val="24"/>
      </w:rPr>
      <w:t>Georgia Power Company</w:t>
    </w:r>
  </w:p>
  <w:p w14:paraId="633374C2" w14:textId="77777777" w:rsidR="00080551" w:rsidRPr="00D62A4A" w:rsidRDefault="00080551" w:rsidP="00080551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</w:pPr>
    <w:r w:rsidRPr="00D62A4A">
      <w:rPr>
        <w:rFonts w:ascii="Times New Roman" w:eastAsia="Times New Roman" w:hAnsi="Times New Roman" w:cs="Times New Roman"/>
        <w:b/>
        <w:bCs/>
        <w:sz w:val="24"/>
        <w:szCs w:val="24"/>
      </w:rPr>
      <w:t xml:space="preserve">Docket Nos. </w:t>
    </w:r>
    <w:r w:rsidRPr="00D62A4A"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>56002 &amp; 56003</w:t>
    </w:r>
  </w:p>
  <w:p w14:paraId="4813352E" w14:textId="77777777" w:rsidR="00080551" w:rsidRPr="00D62A4A" w:rsidRDefault="00080551" w:rsidP="00080551">
    <w:pPr>
      <w:pStyle w:val="Header"/>
      <w:jc w:val="center"/>
      <w:rPr>
        <w:rFonts w:ascii="Times New Roman" w:hAnsi="Times New Roman" w:cs="Times New Roman"/>
        <w:b/>
        <w:color w:val="000000"/>
        <w:sz w:val="24"/>
        <w:szCs w:val="24"/>
      </w:rPr>
    </w:pPr>
    <w:r w:rsidRPr="00D62A4A">
      <w:rPr>
        <w:rFonts w:ascii="Times New Roman" w:hAnsi="Times New Roman" w:cs="Times New Roman"/>
        <w:b/>
        <w:color w:val="000000"/>
        <w:sz w:val="24"/>
        <w:szCs w:val="24"/>
      </w:rPr>
      <w:t>2025 Integrated Resource Plan and 2025 Demand-Side Management Application</w:t>
    </w:r>
  </w:p>
  <w:p w14:paraId="23EC0579" w14:textId="77777777" w:rsidR="00080551" w:rsidRPr="00D62A4A" w:rsidRDefault="00080551" w:rsidP="00080551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D62A4A">
      <w:rPr>
        <w:rFonts w:ascii="Times New Roman" w:eastAsia="Times New Roman" w:hAnsi="Times New Roman" w:cs="Times New Roman"/>
        <w:b/>
        <w:bCs/>
        <w:sz w:val="24"/>
        <w:szCs w:val="24"/>
      </w:rPr>
      <w:t>STF-JKA Data Request Set No. 1</w:t>
    </w:r>
  </w:p>
  <w:p w14:paraId="309AABAE" w14:textId="77777777" w:rsidR="00080551" w:rsidRPr="00D62A4A" w:rsidRDefault="00080551" w:rsidP="00080551">
    <w:pPr>
      <w:pStyle w:val="Header"/>
      <w:jc w:val="center"/>
      <w:rPr>
        <w:rFonts w:ascii="Times New Roman" w:hAnsi="Times New Roman" w:cs="Times New Roman"/>
        <w:sz w:val="24"/>
        <w:szCs w:val="24"/>
      </w:rPr>
    </w:pPr>
    <w:r w:rsidRPr="00D62A4A">
      <w:rPr>
        <w:rFonts w:ascii="Times New Roman" w:hAnsi="Times New Roman" w:cs="Times New Roman"/>
        <w:sz w:val="24"/>
        <w:szCs w:val="24"/>
      </w:rPr>
      <w:t>______________________________________________________________________________</w:t>
    </w:r>
  </w:p>
  <w:p w14:paraId="0BEF02C4" w14:textId="03AF0E98" w:rsidR="00484306" w:rsidRPr="00080551" w:rsidRDefault="00484306" w:rsidP="000805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F8D4345"/>
    <w:multiLevelType w:val="hybridMultilevel"/>
    <w:tmpl w:val="DAD01376"/>
    <w:lvl w:ilvl="0" w:tplc="05CCBF3C">
      <w:start w:val="1"/>
      <w:numFmt w:val="lowerLetter"/>
      <w:lvlText w:val="%1."/>
      <w:lvlJc w:val="left"/>
      <w:pPr>
        <w:ind w:left="927" w:hanging="360"/>
      </w:pPr>
      <w:rPr>
        <w:rFonts w:hint="default"/>
        <w:b/>
        <w:sz w:val="22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5A40912"/>
    <w:multiLevelType w:val="hybridMultilevel"/>
    <w:tmpl w:val="6C209C6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38D60BC"/>
    <w:multiLevelType w:val="hybridMultilevel"/>
    <w:tmpl w:val="47FAA30C"/>
    <w:lvl w:ilvl="0" w:tplc="733A1360">
      <w:start w:val="1"/>
      <w:numFmt w:val="lowerLetter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0175F84"/>
    <w:multiLevelType w:val="hybridMultilevel"/>
    <w:tmpl w:val="2622482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62A6DFC"/>
    <w:multiLevelType w:val="hybridMultilevel"/>
    <w:tmpl w:val="8BB2C3C8"/>
    <w:lvl w:ilvl="0" w:tplc="EF6E10B0">
      <w:start w:val="1"/>
      <w:numFmt w:val="lowerLetter"/>
      <w:lvlText w:val="%1."/>
      <w:lvlJc w:val="left"/>
      <w:pPr>
        <w:ind w:left="927" w:hanging="360"/>
      </w:pPr>
      <w:rPr>
        <w:rFonts w:ascii="Times New Roman" w:hAnsi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88174212">
    <w:abstractNumId w:val="8"/>
  </w:num>
  <w:num w:numId="2" w16cid:durableId="18901360">
    <w:abstractNumId w:val="6"/>
  </w:num>
  <w:num w:numId="3" w16cid:durableId="1396901413">
    <w:abstractNumId w:val="5"/>
  </w:num>
  <w:num w:numId="4" w16cid:durableId="1307468035">
    <w:abstractNumId w:val="4"/>
  </w:num>
  <w:num w:numId="5" w16cid:durableId="1391610277">
    <w:abstractNumId w:val="7"/>
  </w:num>
  <w:num w:numId="6" w16cid:durableId="713584427">
    <w:abstractNumId w:val="3"/>
  </w:num>
  <w:num w:numId="7" w16cid:durableId="1734506738">
    <w:abstractNumId w:val="2"/>
  </w:num>
  <w:num w:numId="8" w16cid:durableId="743603049">
    <w:abstractNumId w:val="1"/>
  </w:num>
  <w:num w:numId="9" w16cid:durableId="555554634">
    <w:abstractNumId w:val="0"/>
  </w:num>
  <w:num w:numId="10" w16cid:durableId="1236630395">
    <w:abstractNumId w:val="9"/>
  </w:num>
  <w:num w:numId="11" w16cid:durableId="613098952">
    <w:abstractNumId w:val="10"/>
  </w:num>
  <w:num w:numId="12" w16cid:durableId="1564607784">
    <w:abstractNumId w:val="12"/>
  </w:num>
  <w:num w:numId="13" w16cid:durableId="2130932225">
    <w:abstractNumId w:val="11"/>
  </w:num>
  <w:num w:numId="14" w16cid:durableId="74556647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1706"/>
    <w:rsid w:val="0001610D"/>
    <w:rsid w:val="00034616"/>
    <w:rsid w:val="0006063C"/>
    <w:rsid w:val="00080551"/>
    <w:rsid w:val="00087F8F"/>
    <w:rsid w:val="00096AD4"/>
    <w:rsid w:val="000A794C"/>
    <w:rsid w:val="0010705F"/>
    <w:rsid w:val="0011340E"/>
    <w:rsid w:val="0015074B"/>
    <w:rsid w:val="00156595"/>
    <w:rsid w:val="00157970"/>
    <w:rsid w:val="00162DB5"/>
    <w:rsid w:val="001D10AF"/>
    <w:rsid w:val="001D4EC3"/>
    <w:rsid w:val="00200402"/>
    <w:rsid w:val="00227903"/>
    <w:rsid w:val="00233CE2"/>
    <w:rsid w:val="002644F6"/>
    <w:rsid w:val="0029639D"/>
    <w:rsid w:val="002970B3"/>
    <w:rsid w:val="003113FD"/>
    <w:rsid w:val="00323E64"/>
    <w:rsid w:val="00326F90"/>
    <w:rsid w:val="0035751B"/>
    <w:rsid w:val="00361140"/>
    <w:rsid w:val="003C4C0E"/>
    <w:rsid w:val="003E6876"/>
    <w:rsid w:val="00421988"/>
    <w:rsid w:val="004628B6"/>
    <w:rsid w:val="00484306"/>
    <w:rsid w:val="0048536F"/>
    <w:rsid w:val="004A352F"/>
    <w:rsid w:val="004C2DAE"/>
    <w:rsid w:val="00543B45"/>
    <w:rsid w:val="005453DA"/>
    <w:rsid w:val="0054743D"/>
    <w:rsid w:val="005931E8"/>
    <w:rsid w:val="005A246E"/>
    <w:rsid w:val="005A4AF1"/>
    <w:rsid w:val="005A6FF2"/>
    <w:rsid w:val="005C28C1"/>
    <w:rsid w:val="006164B9"/>
    <w:rsid w:val="00694FAE"/>
    <w:rsid w:val="006B1B2B"/>
    <w:rsid w:val="006E3921"/>
    <w:rsid w:val="006F7B65"/>
    <w:rsid w:val="007171F8"/>
    <w:rsid w:val="00724F5D"/>
    <w:rsid w:val="00744433"/>
    <w:rsid w:val="00761C3A"/>
    <w:rsid w:val="00764652"/>
    <w:rsid w:val="007A718C"/>
    <w:rsid w:val="007B6F3A"/>
    <w:rsid w:val="007F0031"/>
    <w:rsid w:val="0083407E"/>
    <w:rsid w:val="008554C8"/>
    <w:rsid w:val="00863710"/>
    <w:rsid w:val="00871B61"/>
    <w:rsid w:val="00935E36"/>
    <w:rsid w:val="00936739"/>
    <w:rsid w:val="00940B63"/>
    <w:rsid w:val="00A109EC"/>
    <w:rsid w:val="00A24502"/>
    <w:rsid w:val="00A26B6E"/>
    <w:rsid w:val="00A572B6"/>
    <w:rsid w:val="00A856E3"/>
    <w:rsid w:val="00A94320"/>
    <w:rsid w:val="00AA1D8D"/>
    <w:rsid w:val="00AB2647"/>
    <w:rsid w:val="00B47730"/>
    <w:rsid w:val="00B60594"/>
    <w:rsid w:val="00B627F0"/>
    <w:rsid w:val="00B97287"/>
    <w:rsid w:val="00BA2484"/>
    <w:rsid w:val="00BD3095"/>
    <w:rsid w:val="00C54591"/>
    <w:rsid w:val="00C607E1"/>
    <w:rsid w:val="00C65ED6"/>
    <w:rsid w:val="00C941E4"/>
    <w:rsid w:val="00CB0664"/>
    <w:rsid w:val="00CE3E40"/>
    <w:rsid w:val="00D00FF6"/>
    <w:rsid w:val="00D63F1B"/>
    <w:rsid w:val="00DD4B1F"/>
    <w:rsid w:val="00DF6168"/>
    <w:rsid w:val="00E0758E"/>
    <w:rsid w:val="00E13BF5"/>
    <w:rsid w:val="00E43F9E"/>
    <w:rsid w:val="00E56356"/>
    <w:rsid w:val="00E66F37"/>
    <w:rsid w:val="00E7F05B"/>
    <w:rsid w:val="00F33700"/>
    <w:rsid w:val="00F85537"/>
    <w:rsid w:val="00FA5120"/>
    <w:rsid w:val="00FC693F"/>
    <w:rsid w:val="00FC772D"/>
    <w:rsid w:val="00FE48C3"/>
    <w:rsid w:val="00FF03E1"/>
    <w:rsid w:val="0143D2FC"/>
    <w:rsid w:val="053F1591"/>
    <w:rsid w:val="05FCEFFD"/>
    <w:rsid w:val="08CEFA98"/>
    <w:rsid w:val="08D55D89"/>
    <w:rsid w:val="09A4B900"/>
    <w:rsid w:val="0AF34A1C"/>
    <w:rsid w:val="0BE186D0"/>
    <w:rsid w:val="0F3BA28C"/>
    <w:rsid w:val="11BF0B43"/>
    <w:rsid w:val="12AC9ADC"/>
    <w:rsid w:val="12CED7EF"/>
    <w:rsid w:val="14321471"/>
    <w:rsid w:val="153DB1C2"/>
    <w:rsid w:val="15C4F840"/>
    <w:rsid w:val="16B5A1F3"/>
    <w:rsid w:val="183F5587"/>
    <w:rsid w:val="18A7B39E"/>
    <w:rsid w:val="1A674C81"/>
    <w:rsid w:val="1A8EB6C6"/>
    <w:rsid w:val="1BE31794"/>
    <w:rsid w:val="1CEA9E8D"/>
    <w:rsid w:val="1F43C525"/>
    <w:rsid w:val="1F8DE755"/>
    <w:rsid w:val="2297B7FC"/>
    <w:rsid w:val="29F9E947"/>
    <w:rsid w:val="2B67D49B"/>
    <w:rsid w:val="2DDBBC50"/>
    <w:rsid w:val="2E45A287"/>
    <w:rsid w:val="2EBBE8F8"/>
    <w:rsid w:val="319A493E"/>
    <w:rsid w:val="32D533E4"/>
    <w:rsid w:val="32ECC1E5"/>
    <w:rsid w:val="34B8FC4A"/>
    <w:rsid w:val="36297C31"/>
    <w:rsid w:val="36C4776F"/>
    <w:rsid w:val="37617F39"/>
    <w:rsid w:val="39B09C59"/>
    <w:rsid w:val="3FA50EBF"/>
    <w:rsid w:val="405C7A36"/>
    <w:rsid w:val="40AD8B03"/>
    <w:rsid w:val="443E7865"/>
    <w:rsid w:val="44EAF3EA"/>
    <w:rsid w:val="468D95FA"/>
    <w:rsid w:val="469AFBFF"/>
    <w:rsid w:val="4D7C4E4E"/>
    <w:rsid w:val="4E6B6F89"/>
    <w:rsid w:val="4FA3118B"/>
    <w:rsid w:val="50797D3D"/>
    <w:rsid w:val="50EB01FF"/>
    <w:rsid w:val="54362C40"/>
    <w:rsid w:val="54E776F9"/>
    <w:rsid w:val="56FFE505"/>
    <w:rsid w:val="5928D28C"/>
    <w:rsid w:val="5BA24A2C"/>
    <w:rsid w:val="5BFAE895"/>
    <w:rsid w:val="5C0C2D26"/>
    <w:rsid w:val="5C81BE78"/>
    <w:rsid w:val="612C8E47"/>
    <w:rsid w:val="6613D542"/>
    <w:rsid w:val="679E72D7"/>
    <w:rsid w:val="68756D14"/>
    <w:rsid w:val="687DA193"/>
    <w:rsid w:val="6911471C"/>
    <w:rsid w:val="6B77C69E"/>
    <w:rsid w:val="6C1CA984"/>
    <w:rsid w:val="70E7FCA1"/>
    <w:rsid w:val="711BD5EE"/>
    <w:rsid w:val="73BBCF77"/>
    <w:rsid w:val="74CB469E"/>
    <w:rsid w:val="75D29B90"/>
    <w:rsid w:val="771F022A"/>
    <w:rsid w:val="7765CC7E"/>
    <w:rsid w:val="7EF7D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062061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CommentText">
    <w:name w:val="annotation text"/>
    <w:basedOn w:val="Normal"/>
    <w:link w:val="CommentTextChar"/>
    <w:uiPriority w:val="99"/>
    <w:unhideWhenUsed/>
    <w:rsid w:val="004C2DA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2DAE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C2DAE"/>
    <w:rPr>
      <w:sz w:val="16"/>
      <w:szCs w:val="16"/>
    </w:rPr>
  </w:style>
  <w:style w:type="paragraph" w:styleId="Revision">
    <w:name w:val="Revision"/>
    <w:hidden/>
    <w:uiPriority w:val="99"/>
    <w:semiHidden/>
    <w:rsid w:val="004C2DAE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3E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3E40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CE3E4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287F01-392B-4D8A-93D3-5E05F0C660B8}"/>
</file>

<file path=customXml/itemProps3.xml><?xml version="1.0" encoding="utf-8"?>
<ds:datastoreItem xmlns:ds="http://schemas.openxmlformats.org/officeDocument/2006/customXml" ds:itemID="{8CDE8BDD-D29D-436E-900F-1E0C50D9C4E8}"/>
</file>

<file path=customXml/itemProps4.xml><?xml version="1.0" encoding="utf-8"?>
<ds:datastoreItem xmlns:ds="http://schemas.openxmlformats.org/officeDocument/2006/customXml" ds:itemID="{160B1889-3BBF-4521-A645-596999BC5E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2025-02-28T05:20:00Z</dcterms:created>
  <dcterms:modified xsi:type="dcterms:W3CDTF">2025-02-28T05:20:00Z</dcterms:modified>
  <cp:category/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2025-02-28T05:20:32Z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e54c8b06-31b2-4822-9c12-5d4980579b92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Order">
    <vt:r8>3232500</vt:r8>
  </property>
  <property fmtid="{D5CDD505-2E9C-101B-9397-08002B2CF9AE}" pid="12" name="xd_ProgID">
    <vt:lpwstr/>
  </property>
  <property fmtid="{D5CDD505-2E9C-101B-9397-08002B2CF9AE}" pid="13" name="ContentTypeId">
    <vt:lpwstr>0x010100F90794ADCB3F68419D9EFAC3BB9AAF2E</vt:lpwstr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xd_Signature">
    <vt:bool>false</vt:bool>
  </property>
  <property fmtid="{D5CDD505-2E9C-101B-9397-08002B2CF9AE}" pid="18" name="TriggerFlowInfo">
    <vt:lpwstr/>
  </property>
  <property fmtid="{D5CDD505-2E9C-101B-9397-08002B2CF9AE}" pid="19" name="_SourceUrl">
    <vt:lpwstr/>
  </property>
  <property fmtid="{D5CDD505-2E9C-101B-9397-08002B2CF9AE}" pid="20" name="_SharedFileIndex">
    <vt:lpwstr/>
  </property>
</Properties>
</file>